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CB" w:rsidRDefault="00D879D9">
      <w:pPr>
        <w:autoSpaceDE w:val="0"/>
        <w:autoSpaceDN w:val="0"/>
        <w:adjustRightInd w:val="0"/>
        <w:spacing w:line="440" w:lineRule="atLeast"/>
        <w:ind w:left="880" w:hanging="220"/>
        <w:jc w:val="left"/>
        <w:rPr>
          <w:rFonts w:ascii="Century" w:eastAsia="ＭＳ 明朝" w:hAnsi="ＭＳ 明朝" w:cs="ＭＳ 明朝"/>
          <w:color w:val="000000"/>
          <w:kern w:val="0"/>
          <w:sz w:val="22"/>
        </w:rPr>
      </w:pPr>
      <w:bookmarkStart w:id="0" w:name="_GoBack"/>
      <w:bookmarkEnd w:id="0"/>
      <w:r>
        <w:rPr>
          <w:rFonts w:ascii="Century" w:eastAsia="ＭＳ 明朝" w:hAnsi="ＭＳ 明朝" w:cs="ＭＳ 明朝" w:hint="eastAsia"/>
          <w:color w:val="000000"/>
          <w:kern w:val="0"/>
          <w:sz w:val="22"/>
        </w:rPr>
        <w:t>○由利本荘市工場立地法第４条の２第</w:t>
      </w:r>
      <w:r w:rsidRPr="00B01817">
        <w:rPr>
          <w:rFonts w:ascii="Century" w:eastAsia="ＭＳ 明朝" w:hAnsi="ＭＳ 明朝" w:cs="ＭＳ 明朝" w:hint="eastAsia"/>
          <w:kern w:val="0"/>
          <w:sz w:val="22"/>
        </w:rPr>
        <w:t>１</w:t>
      </w:r>
      <w:r w:rsidR="007E3ECB">
        <w:rPr>
          <w:rFonts w:ascii="Century" w:eastAsia="ＭＳ 明朝" w:hAnsi="ＭＳ 明朝" w:cs="ＭＳ 明朝" w:hint="eastAsia"/>
          <w:color w:val="000000"/>
          <w:kern w:val="0"/>
          <w:sz w:val="22"/>
        </w:rPr>
        <w:t>項の規定に基づく準則を定める条例</w:t>
      </w:r>
    </w:p>
    <w:p w:rsidR="007E3ECB" w:rsidRDefault="007E3ECB">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平成２４年９月２６日</w:t>
      </w:r>
    </w:p>
    <w:p w:rsidR="007E3ECB" w:rsidRDefault="007E3ECB">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条例第４５号</w:t>
      </w:r>
    </w:p>
    <w:p w:rsidR="007E3ECB" w:rsidRDefault="007E3ECB">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（趣旨）</w:t>
      </w:r>
    </w:p>
    <w:p w:rsidR="007E3ECB" w:rsidRDefault="007E3ECB">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第１条　この条例は、工場立</w:t>
      </w:r>
      <w:r w:rsidR="00D879D9">
        <w:rPr>
          <w:rFonts w:ascii="Century" w:eastAsia="ＭＳ 明朝" w:hAnsi="ＭＳ 明朝" w:cs="ＭＳ 明朝" w:hint="eastAsia"/>
          <w:color w:val="000000"/>
          <w:kern w:val="0"/>
          <w:sz w:val="22"/>
        </w:rPr>
        <w:t>地法（昭和３４年法律第２４号。以下「法」という。）第４条の２第</w:t>
      </w:r>
      <w:r w:rsidR="00D879D9" w:rsidRPr="00ED2D45">
        <w:rPr>
          <w:rFonts w:ascii="Century" w:eastAsia="ＭＳ 明朝" w:hAnsi="ＭＳ 明朝" w:cs="ＭＳ 明朝" w:hint="eastAsia"/>
          <w:kern w:val="0"/>
          <w:sz w:val="22"/>
        </w:rPr>
        <w:t>１</w:t>
      </w:r>
      <w:r>
        <w:rPr>
          <w:rFonts w:ascii="Century" w:eastAsia="ＭＳ 明朝" w:hAnsi="ＭＳ 明朝" w:cs="ＭＳ 明朝" w:hint="eastAsia"/>
          <w:color w:val="000000"/>
          <w:kern w:val="0"/>
          <w:sz w:val="22"/>
        </w:rPr>
        <w:t>項の規定に基づき、法第４条第１項の規定により公表された準則に代えて適用すべき準則を定めるものとする。</w:t>
      </w:r>
    </w:p>
    <w:p w:rsidR="007E3ECB" w:rsidRDefault="007E3ECB">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（定義）</w:t>
      </w:r>
    </w:p>
    <w:p w:rsidR="007E3ECB" w:rsidRDefault="007E3ECB">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第２条　この条例における用語の意義は、法の例による。</w:t>
      </w:r>
    </w:p>
    <w:p w:rsidR="007E3ECB" w:rsidRDefault="007E3ECB">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（適用区域並びに緑地及び環境施設の敷地面積に対する割合）</w:t>
      </w:r>
    </w:p>
    <w:p w:rsidR="007E3ECB" w:rsidRDefault="007E3ECB">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　この条例を適用する区域の範囲並びに当該区域における緑地及び環境施設の面積のそれぞれの敷地面積に対する割合は、次の表のとおりとする。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5261"/>
        <w:gridCol w:w="1904"/>
        <w:gridCol w:w="1904"/>
      </w:tblGrid>
      <w:tr w:rsidR="007E3ECB">
        <w:tblPrEx>
          <w:tblCellMar>
            <w:top w:w="0" w:type="dxa"/>
            <w:left w:w="0" w:type="dxa"/>
            <w:bottom w:w="0" w:type="dxa"/>
            <w:right w:w="0" w:type="dxa"/>
          </w:tblCellMar>
        </w:tblPrEx>
        <w:tc>
          <w:tcPr>
            <w:tcW w:w="5261" w:type="dxa"/>
            <w:tcBorders>
              <w:top w:val="single" w:sz="4" w:space="0" w:color="000000"/>
              <w:left w:val="single" w:sz="4" w:space="0" w:color="000000"/>
              <w:bottom w:val="single" w:sz="4" w:space="0" w:color="000000"/>
              <w:right w:val="single" w:sz="4" w:space="0" w:color="000000"/>
            </w:tcBorders>
          </w:tcPr>
          <w:p w:rsidR="007E3ECB" w:rsidRDefault="007E3ECB">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区域の範囲</w:t>
            </w:r>
          </w:p>
        </w:tc>
        <w:tc>
          <w:tcPr>
            <w:tcW w:w="1904" w:type="dxa"/>
            <w:tcBorders>
              <w:top w:val="single" w:sz="4" w:space="0" w:color="000000"/>
              <w:left w:val="nil"/>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緑地の面積の敷地面積に対する割合</w:t>
            </w:r>
          </w:p>
        </w:tc>
        <w:tc>
          <w:tcPr>
            <w:tcW w:w="1904" w:type="dxa"/>
            <w:tcBorders>
              <w:top w:val="single" w:sz="4" w:space="0" w:color="000000"/>
              <w:left w:val="nil"/>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環境施設の面積の敷地面積に対する割合</w:t>
            </w:r>
          </w:p>
        </w:tc>
      </w:tr>
      <w:tr w:rsidR="007E3ECB">
        <w:tblPrEx>
          <w:tblCellMar>
            <w:top w:w="0" w:type="dxa"/>
            <w:left w:w="0" w:type="dxa"/>
            <w:bottom w:w="0" w:type="dxa"/>
            <w:right w:w="0" w:type="dxa"/>
          </w:tblCellMar>
        </w:tblPrEx>
        <w:tc>
          <w:tcPr>
            <w:tcW w:w="5261" w:type="dxa"/>
            <w:tcBorders>
              <w:top w:val="nil"/>
              <w:left w:val="single" w:sz="4" w:space="0" w:color="000000"/>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都市計画法（昭和４３年法律第１００号）第８条第１項第１号の工業地域（以下「第１種地域」という。）</w:t>
            </w:r>
          </w:p>
        </w:tc>
        <w:tc>
          <w:tcPr>
            <w:tcW w:w="1904" w:type="dxa"/>
            <w:tcBorders>
              <w:top w:val="nil"/>
              <w:left w:val="nil"/>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１００分の５以上</w:t>
            </w:r>
          </w:p>
        </w:tc>
        <w:tc>
          <w:tcPr>
            <w:tcW w:w="1904" w:type="dxa"/>
            <w:tcBorders>
              <w:top w:val="nil"/>
              <w:left w:val="nil"/>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１００分の１０以上</w:t>
            </w:r>
          </w:p>
        </w:tc>
      </w:tr>
      <w:tr w:rsidR="007E3ECB">
        <w:tblPrEx>
          <w:tblCellMar>
            <w:top w:w="0" w:type="dxa"/>
            <w:left w:w="0" w:type="dxa"/>
            <w:bottom w:w="0" w:type="dxa"/>
            <w:right w:w="0" w:type="dxa"/>
          </w:tblCellMar>
        </w:tblPrEx>
        <w:tc>
          <w:tcPr>
            <w:tcW w:w="5261" w:type="dxa"/>
            <w:tcBorders>
              <w:top w:val="nil"/>
              <w:left w:val="single" w:sz="4" w:space="0" w:color="000000"/>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都市計画法第８条第１項第１号に定める用途地域の定めのない地域（以下「第２種地域」という。）</w:t>
            </w:r>
          </w:p>
        </w:tc>
        <w:tc>
          <w:tcPr>
            <w:tcW w:w="1904" w:type="dxa"/>
            <w:tcBorders>
              <w:top w:val="nil"/>
              <w:left w:val="nil"/>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１００分の１０以上</w:t>
            </w:r>
          </w:p>
        </w:tc>
        <w:tc>
          <w:tcPr>
            <w:tcW w:w="1904" w:type="dxa"/>
            <w:tcBorders>
              <w:top w:val="nil"/>
              <w:left w:val="nil"/>
              <w:bottom w:val="single" w:sz="4" w:space="0" w:color="000000"/>
              <w:right w:val="single" w:sz="4" w:space="0" w:color="000000"/>
            </w:tcBorders>
          </w:tcPr>
          <w:p w:rsidR="007E3ECB" w:rsidRDefault="007E3EC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１００分の１５以上</w:t>
            </w:r>
          </w:p>
        </w:tc>
      </w:tr>
    </w:tbl>
    <w:p w:rsidR="007E3ECB" w:rsidRDefault="007E3ECB">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（敷地が適用区域及び適用区域以外の区域にわたる場合の適用）</w:t>
      </w:r>
    </w:p>
    <w:p w:rsidR="007E3ECB" w:rsidRDefault="007E3ECB">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第４条　法第２条第３項に規定する製造業等に係る工場又は事業場の敷地が前条に規定する区域（以下「適用区域」という。）及び適用区域以外の区域にわたる場合において、当該敷地に占める適用区域の面積の割合（以下「敷地割合」という。）が２分の１以上のときは当該敷地の全部について同条の規定を適用し、敷地割合が２分の１未満のときは当該敷地の全部について同条の規定を適用しない。</w:t>
      </w:r>
    </w:p>
    <w:p w:rsidR="007E3ECB" w:rsidRDefault="007E3ECB">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w:t>
      </w:r>
    </w:p>
    <w:p w:rsidR="007E3ECB" w:rsidRDefault="007E3ECB">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（施行期日）</w:t>
      </w:r>
    </w:p>
    <w:p w:rsidR="007E3ECB" w:rsidRDefault="007E3ECB">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この条例は、公布の日から施行する。</w:t>
      </w:r>
    </w:p>
    <w:p w:rsidR="007E3ECB" w:rsidRDefault="007E3ECB">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（既存工場等に係る面積の算定）</w:t>
      </w:r>
    </w:p>
    <w:p w:rsidR="007E3ECB" w:rsidRDefault="007E3ECB">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次項に定める場合を除き、昭和４９年６月２８日において現に設置されている又は設置</w:t>
      </w:r>
      <w:r>
        <w:rPr>
          <w:rFonts w:ascii="Century" w:eastAsia="ＭＳ 明朝" w:hAnsi="ＭＳ 明朝" w:cs="ＭＳ 明朝" w:hint="eastAsia"/>
          <w:color w:val="000000"/>
          <w:kern w:val="0"/>
          <w:sz w:val="22"/>
        </w:rPr>
        <w:lastRenderedPageBreak/>
        <w:t>のための工事が行われている法第６条第１項に規定する製造業等に係る工場又は事業場（以下「既存工場等」という。）において、生産施設の面積の変更（生産施設の面積の減少を除く。以下同じ。）が行われるときは、第３条の表に定める割合に適合する緑地及び環境施設の面積の算定は、それぞれ次に掲げる式によって行うものとする。</w:t>
      </w:r>
    </w:p>
    <w:p w:rsidR="007E3ECB" w:rsidRDefault="007E3ECB">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当該生産施設の面積の変更に伴い設置する緑地の面積</w:t>
      </w:r>
    </w:p>
    <w:p w:rsidR="007E3ECB" w:rsidRDefault="00770FC3">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noProof/>
          <w:color w:val="000000"/>
          <w:kern w:val="0"/>
          <w:sz w:val="22"/>
        </w:rPr>
        <w:drawing>
          <wp:inline distT="0" distB="0" distL="0" distR="0">
            <wp:extent cx="590550"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ただし、</w:t>
      </w:r>
      <w:r w:rsidR="00770FC3">
        <w:rPr>
          <w:rFonts w:ascii="Century" w:eastAsia="ＭＳ 明朝" w:hAnsi="ＭＳ 明朝" w:cs="ＭＳ 明朝"/>
          <w:noProof/>
          <w:color w:val="000000"/>
          <w:kern w:val="0"/>
          <w:sz w:val="22"/>
        </w:rPr>
        <w:drawing>
          <wp:inline distT="0" distB="0" distL="0" distR="0">
            <wp:extent cx="952500" cy="228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Pr>
          <w:rFonts w:ascii="Century" w:eastAsia="ＭＳ 明朝" w:hAnsi="ＭＳ 明朝" w:cs="ＭＳ 明朝" w:hint="eastAsia"/>
          <w:color w:val="000000"/>
          <w:kern w:val="0"/>
          <w:sz w:val="22"/>
        </w:rPr>
        <w:t>のときは</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aS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とし、</w:t>
      </w:r>
      <w:r>
        <w:rPr>
          <w:rFonts w:ascii="Century" w:eastAsia="ＭＳ 明朝" w:hAnsi="ＭＳ 明朝" w:cs="ＭＳ 明朝"/>
          <w:color w:val="000000"/>
          <w:kern w:val="0"/>
          <w:sz w:val="22"/>
        </w:rPr>
        <w:t>aS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≦０のときは</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≧０とする。</w:t>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これらの式において、</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P</w:t>
      </w:r>
      <w:r>
        <w:rPr>
          <w:rFonts w:ascii="Century" w:eastAsia="ＭＳ 明朝" w:hAnsi="ＭＳ 明朝" w:cs="ＭＳ 明朝" w:hint="eastAsia"/>
          <w:color w:val="000000"/>
          <w:kern w:val="0"/>
          <w:sz w:val="22"/>
        </w:rPr>
        <w:t>、γ、</w:t>
      </w:r>
      <w:r>
        <w:rPr>
          <w:rFonts w:ascii="Century" w:eastAsia="ＭＳ 明朝" w:hAnsi="ＭＳ 明朝" w:cs="ＭＳ 明朝"/>
          <w:color w:val="000000"/>
          <w:kern w:val="0"/>
          <w:sz w:val="22"/>
        </w:rPr>
        <w:t>a</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及び</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は、それぞれ次の数値を表すものとする。</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 xml:space="preserve">　当該変更に伴い設置する緑地の面積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P</w:t>
      </w:r>
      <w:r>
        <w:rPr>
          <w:rFonts w:ascii="Century" w:eastAsia="ＭＳ 明朝" w:hAnsi="ＭＳ 明朝" w:cs="ＭＳ 明朝" w:hint="eastAsia"/>
          <w:color w:val="000000"/>
          <w:kern w:val="0"/>
          <w:sz w:val="22"/>
        </w:rPr>
        <w:t xml:space="preserve">　当該変更に係る生産施設の面積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γ　当該既存工場等が属する工場立地に関する準則（平成１０年大蔵省、厚生省、農林水産省、通商産業省、運輸省告示第１号。以下「法準則」という。）別表第１の上欄に掲げる業種についての同表の下欄に掲げる割合</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a</w:t>
      </w:r>
      <w:r>
        <w:rPr>
          <w:rFonts w:ascii="Century" w:eastAsia="ＭＳ 明朝" w:hAnsi="ＭＳ 明朝" w:cs="ＭＳ 明朝" w:hint="eastAsia"/>
          <w:color w:val="000000"/>
          <w:kern w:val="0"/>
          <w:sz w:val="22"/>
        </w:rPr>
        <w:t xml:space="preserve">　第１種地域においては０．０５、第２種地域においては０．１</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 xml:space="preserve">　当該変更に係る届出前に設置されている緑地（当該届出前に届け出られた緑地の面積の変更に係るものを含む。）の面積の合計のうち、昭和４９年６月２９日以後の当該変更以外の生産施設の面積の変更に伴い最低限設置することが必要な緑地の面積の合計を超える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 xml:space="preserve">　当該既存工場等の敷地面積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 xml:space="preserve">　当該変更に係る届出前に設置されている緑地（当該届出前に届け出られた緑地の面積の変更に係るものを含む。）の面積の合計</w:t>
      </w:r>
    </w:p>
    <w:p w:rsidR="007E3ECB" w:rsidRDefault="007E3ECB">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当該生産施設の面積の変更に伴い設置する環境施設の面積</w:t>
      </w:r>
    </w:p>
    <w:p w:rsidR="007E3ECB" w:rsidRDefault="00770FC3">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noProof/>
          <w:color w:val="000000"/>
          <w:kern w:val="0"/>
          <w:sz w:val="22"/>
        </w:rPr>
        <w:drawing>
          <wp:inline distT="0" distB="0" distL="0" distR="0">
            <wp:extent cx="571500" cy="2190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ただし、</w:t>
      </w:r>
      <w:r w:rsidR="00770FC3">
        <w:rPr>
          <w:rFonts w:ascii="Century" w:eastAsia="ＭＳ 明朝" w:hAnsi="ＭＳ 明朝" w:cs="ＭＳ 明朝"/>
          <w:noProof/>
          <w:color w:val="000000"/>
          <w:kern w:val="0"/>
          <w:sz w:val="22"/>
        </w:rPr>
        <w:drawing>
          <wp:inline distT="0" distB="0" distL="0" distR="0">
            <wp:extent cx="952500" cy="228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Pr>
          <w:rFonts w:ascii="Century" w:eastAsia="ＭＳ 明朝" w:hAnsi="ＭＳ 明朝" w:cs="ＭＳ 明朝" w:hint="eastAsia"/>
          <w:color w:val="000000"/>
          <w:kern w:val="0"/>
          <w:sz w:val="22"/>
        </w:rPr>
        <w:t>のときは</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bS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とし、</w:t>
      </w:r>
      <w:r>
        <w:rPr>
          <w:rFonts w:ascii="Century" w:eastAsia="ＭＳ 明朝" w:hAnsi="ＭＳ 明朝" w:cs="ＭＳ 明朝"/>
          <w:color w:val="000000"/>
          <w:kern w:val="0"/>
          <w:sz w:val="22"/>
        </w:rPr>
        <w:t>bS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≦０のときは</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≧０とする。</w:t>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これらの式において、</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P</w:t>
      </w:r>
      <w:r>
        <w:rPr>
          <w:rFonts w:ascii="Century" w:eastAsia="ＭＳ 明朝" w:hAnsi="ＭＳ 明朝" w:cs="ＭＳ 明朝" w:hint="eastAsia"/>
          <w:color w:val="000000"/>
          <w:kern w:val="0"/>
          <w:sz w:val="22"/>
        </w:rPr>
        <w:t>、γ、</w:t>
      </w:r>
      <w:r>
        <w:rPr>
          <w:rFonts w:ascii="Century" w:eastAsia="ＭＳ 明朝" w:hAnsi="ＭＳ 明朝" w:cs="ＭＳ 明朝"/>
          <w:color w:val="000000"/>
          <w:kern w:val="0"/>
          <w:sz w:val="22"/>
        </w:rPr>
        <w:t>b</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及び</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は、それぞれ次の数値を表すものとする。</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 xml:space="preserve">　当該変更に伴い設置する環境施設の面積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P</w:t>
      </w:r>
      <w:r>
        <w:rPr>
          <w:rFonts w:ascii="Century" w:eastAsia="ＭＳ 明朝" w:hAnsi="ＭＳ 明朝" w:cs="ＭＳ 明朝" w:hint="eastAsia"/>
          <w:color w:val="000000"/>
          <w:kern w:val="0"/>
          <w:sz w:val="22"/>
        </w:rPr>
        <w:t xml:space="preserve">　当該変更に係る生産施設の面積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γ　当該既存工場等が属する法準則別表第１の上欄に掲げる業種においての同表の下</w:t>
      </w:r>
      <w:r>
        <w:rPr>
          <w:rFonts w:ascii="Century" w:eastAsia="ＭＳ 明朝" w:hAnsi="ＭＳ 明朝" w:cs="ＭＳ 明朝" w:hint="eastAsia"/>
          <w:color w:val="000000"/>
          <w:kern w:val="0"/>
          <w:sz w:val="22"/>
        </w:rPr>
        <w:lastRenderedPageBreak/>
        <w:t>欄に掲げる割合</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b</w:t>
      </w:r>
      <w:r>
        <w:rPr>
          <w:rFonts w:ascii="Century" w:eastAsia="ＭＳ 明朝" w:hAnsi="ＭＳ 明朝" w:cs="ＭＳ 明朝" w:hint="eastAsia"/>
          <w:color w:val="000000"/>
          <w:kern w:val="0"/>
          <w:sz w:val="22"/>
        </w:rPr>
        <w:t xml:space="preserve">　第１種地域においては０．１、第２種地域においては０．１５</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 xml:space="preserve">　当該変更に係る届出前に設置されている環境施設（当該届出前に届け出られた環境施設の面積の変更に係るものを含む。）の面積の合計のうち、昭和４９年６月２９日以後の当該変更以外の生産施設の面積の変更に伴い最低限設置することが必要な環境施設の面積の合計を超える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 xml:space="preserve">　当該既存工場等の敷地面積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 xml:space="preserve">　当該変更に係る届出前に設置されている環境施設（当該届出前に届け出られた環境施設の面積の変更に係るものを含む。）の面積の合計</w:t>
      </w:r>
    </w:p>
    <w:p w:rsidR="007E3ECB" w:rsidRDefault="007E3ECB">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法準則別表第１の上欄に掲げる２以上の業種に属する既存工場等において、生産施設の面積の変更が行われるときは、第３条の表に定める割合に適合する緑地及び環境施設の面積の算定は、それぞれ次に掲げる式によって行うものとする。</w:t>
      </w:r>
    </w:p>
    <w:p w:rsidR="007E3ECB" w:rsidRDefault="007E3ECB">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当該生産施設の面積の変更に伴い設置する緑地の面積</w:t>
      </w:r>
    </w:p>
    <w:p w:rsidR="007E3ECB" w:rsidRDefault="00770FC3">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noProof/>
          <w:color w:val="000000"/>
          <w:kern w:val="0"/>
          <w:sz w:val="22"/>
        </w:rPr>
        <w:drawing>
          <wp:inline distT="0" distB="0" distL="0" distR="0">
            <wp:extent cx="809625" cy="2762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ただし、</w:t>
      </w:r>
      <w:r w:rsidR="00770FC3">
        <w:rPr>
          <w:rFonts w:ascii="Century" w:eastAsia="ＭＳ 明朝" w:hAnsi="ＭＳ 明朝" w:cs="ＭＳ 明朝"/>
          <w:noProof/>
          <w:color w:val="000000"/>
          <w:kern w:val="0"/>
          <w:sz w:val="22"/>
        </w:rPr>
        <w:drawing>
          <wp:inline distT="0" distB="0" distL="0" distR="0">
            <wp:extent cx="1181100" cy="266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Pr>
          <w:rFonts w:ascii="Century" w:eastAsia="ＭＳ 明朝" w:hAnsi="ＭＳ 明朝" w:cs="ＭＳ 明朝" w:hint="eastAsia"/>
          <w:color w:val="000000"/>
          <w:kern w:val="0"/>
          <w:sz w:val="22"/>
        </w:rPr>
        <w:t>のときは</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aS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とし、</w:t>
      </w:r>
      <w:r>
        <w:rPr>
          <w:rFonts w:ascii="Century" w:eastAsia="ＭＳ 明朝" w:hAnsi="ＭＳ 明朝" w:cs="ＭＳ 明朝"/>
          <w:color w:val="000000"/>
          <w:kern w:val="0"/>
          <w:sz w:val="22"/>
        </w:rPr>
        <w:t>aS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≦０のときは</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≧０とする。</w:t>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これらの式において、</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n</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Pj</w:t>
      </w:r>
      <w:r>
        <w:rPr>
          <w:rFonts w:ascii="Century" w:eastAsia="ＭＳ 明朝" w:hAnsi="ＭＳ 明朝" w:cs="ＭＳ 明朝" w:hint="eastAsia"/>
          <w:color w:val="000000"/>
          <w:kern w:val="0"/>
          <w:sz w:val="22"/>
        </w:rPr>
        <w:t>、γ</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a</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及び</w:t>
      </w: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は、それぞれ次の数値を表すものとする。</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rPr>
        <w:t xml:space="preserve">　当該変更に伴い設置する緑地の面積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n</w:t>
      </w:r>
      <w:r>
        <w:rPr>
          <w:rFonts w:ascii="Century" w:eastAsia="ＭＳ 明朝" w:hAnsi="ＭＳ 明朝" w:cs="ＭＳ 明朝" w:hint="eastAsia"/>
          <w:color w:val="000000"/>
          <w:kern w:val="0"/>
          <w:sz w:val="22"/>
        </w:rPr>
        <w:t xml:space="preserve">　当該既存工場等が属する業種の個数</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Pj</w:t>
      </w:r>
      <w:r>
        <w:rPr>
          <w:rFonts w:ascii="Century" w:eastAsia="ＭＳ 明朝" w:hAnsi="ＭＳ 明朝" w:cs="ＭＳ 明朝" w:hint="eastAsia"/>
          <w:color w:val="000000"/>
          <w:kern w:val="0"/>
          <w:sz w:val="22"/>
        </w:rPr>
        <w:t xml:space="preserve">　当該変更に係る</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業種に属する生産施設の面積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γ</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 xml:space="preserve">　</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業種についての法準則別表第１の下欄に掲げる割合</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a</w:t>
      </w:r>
      <w:r>
        <w:rPr>
          <w:rFonts w:ascii="Century" w:eastAsia="ＭＳ 明朝" w:hAnsi="ＭＳ 明朝" w:cs="ＭＳ 明朝" w:hint="eastAsia"/>
          <w:color w:val="000000"/>
          <w:kern w:val="0"/>
          <w:sz w:val="22"/>
        </w:rPr>
        <w:t xml:space="preserve">　第１種地域においては０．０５、第２種地域においては０．１</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 xml:space="preserve">　当該変更に係る届出前に設置されている緑地（当該届出前に届け出られた緑地の面積の変更に係るものを含む。）の面積の合計のうち、昭和４９年６月２９日以後の当該変更以外の生産施設の面積の変更に伴い最低限設置することが必要な緑地の面積の合計を超える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 xml:space="preserve">　当該既存工場等の敷地面積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G</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 xml:space="preserve">　当該変更に係る届出前に設置されている緑地（当該届出前に届け出られた緑地の面積の変更に係るものを含む。）の面積の合計</w:t>
      </w:r>
    </w:p>
    <w:p w:rsidR="007E3ECB" w:rsidRDefault="007E3ECB">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（２）　当該生産施設の面積の変更に伴い設置する環境施設の面積</w:t>
      </w:r>
    </w:p>
    <w:p w:rsidR="007E3ECB" w:rsidRDefault="00770FC3">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noProof/>
          <w:color w:val="000000"/>
          <w:kern w:val="0"/>
          <w:sz w:val="22"/>
        </w:rPr>
        <w:drawing>
          <wp:inline distT="0" distB="0" distL="0" distR="0">
            <wp:extent cx="790575" cy="2667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ただし、</w:t>
      </w:r>
      <w:r w:rsidR="00770FC3">
        <w:rPr>
          <w:rFonts w:ascii="Century" w:eastAsia="ＭＳ 明朝" w:hAnsi="ＭＳ 明朝" w:cs="ＭＳ 明朝"/>
          <w:noProof/>
          <w:color w:val="000000"/>
          <w:kern w:val="0"/>
          <w:sz w:val="22"/>
        </w:rPr>
        <w:drawing>
          <wp:inline distT="0" distB="0" distL="0" distR="0">
            <wp:extent cx="1162050" cy="2667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Pr>
          <w:rFonts w:ascii="Century" w:eastAsia="ＭＳ 明朝" w:hAnsi="ＭＳ 明朝" w:cs="ＭＳ 明朝" w:hint="eastAsia"/>
          <w:color w:val="000000"/>
          <w:kern w:val="0"/>
          <w:sz w:val="22"/>
        </w:rPr>
        <w:t>のときは</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bS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とし、</w:t>
      </w:r>
      <w:r>
        <w:rPr>
          <w:rFonts w:ascii="Century" w:eastAsia="ＭＳ 明朝" w:hAnsi="ＭＳ 明朝" w:cs="ＭＳ 明朝"/>
          <w:color w:val="000000"/>
          <w:kern w:val="0"/>
          <w:sz w:val="22"/>
        </w:rPr>
        <w:t>bS</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≦０のときは</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≧０とする。</w:t>
      </w:r>
    </w:p>
    <w:p w:rsidR="007E3ECB" w:rsidRDefault="007E3ECB">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これらの式において、</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n</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Pj</w:t>
      </w:r>
      <w:r>
        <w:rPr>
          <w:rFonts w:ascii="Century" w:eastAsia="ＭＳ 明朝" w:hAnsi="ＭＳ 明朝" w:cs="ＭＳ 明朝" w:hint="eastAsia"/>
          <w:color w:val="000000"/>
          <w:kern w:val="0"/>
          <w:sz w:val="22"/>
        </w:rPr>
        <w:t>、γ</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b</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w:t>
      </w: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及び</w:t>
      </w: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は、それぞれ次の数値を表すものとする。</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rPr>
        <w:t xml:space="preserve">　当該変更に伴い設置する環境施設の面積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n</w:t>
      </w:r>
      <w:r>
        <w:rPr>
          <w:rFonts w:ascii="Century" w:eastAsia="ＭＳ 明朝" w:hAnsi="ＭＳ 明朝" w:cs="ＭＳ 明朝" w:hint="eastAsia"/>
          <w:color w:val="000000"/>
          <w:kern w:val="0"/>
          <w:sz w:val="22"/>
        </w:rPr>
        <w:t xml:space="preserve">　当該既存工場等が属する業種の個数</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Pj</w:t>
      </w:r>
      <w:r>
        <w:rPr>
          <w:rFonts w:ascii="Century" w:eastAsia="ＭＳ 明朝" w:hAnsi="ＭＳ 明朝" w:cs="ＭＳ 明朝" w:hint="eastAsia"/>
          <w:color w:val="000000"/>
          <w:kern w:val="0"/>
          <w:sz w:val="22"/>
        </w:rPr>
        <w:t xml:space="preserve">　当該変更に係る</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業種に属する生産施設の面積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γ</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 xml:space="preserve">　</w:t>
      </w:r>
      <w:r>
        <w:rPr>
          <w:rFonts w:ascii="Century" w:eastAsia="ＭＳ 明朝" w:hAnsi="ＭＳ 明朝" w:cs="ＭＳ 明朝"/>
          <w:color w:val="000000"/>
          <w:kern w:val="0"/>
          <w:sz w:val="22"/>
        </w:rPr>
        <w:t>j</w:t>
      </w:r>
      <w:r>
        <w:rPr>
          <w:rFonts w:ascii="Century" w:eastAsia="ＭＳ 明朝" w:hAnsi="ＭＳ 明朝" w:cs="ＭＳ 明朝" w:hint="eastAsia"/>
          <w:color w:val="000000"/>
          <w:kern w:val="0"/>
          <w:sz w:val="22"/>
        </w:rPr>
        <w:t>業種についての法準則別表第１の下欄に掲げる割合</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b</w:t>
      </w:r>
      <w:r>
        <w:rPr>
          <w:rFonts w:ascii="Century" w:eastAsia="ＭＳ 明朝" w:hAnsi="ＭＳ 明朝" w:cs="ＭＳ 明朝" w:hint="eastAsia"/>
          <w:color w:val="000000"/>
          <w:kern w:val="0"/>
          <w:sz w:val="22"/>
        </w:rPr>
        <w:t xml:space="preserve">　第１種地域においては０．１、第２種地域においては０．１５</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０</w:t>
      </w:r>
      <w:r>
        <w:rPr>
          <w:rFonts w:ascii="Century" w:eastAsia="ＭＳ 明朝" w:hAnsi="ＭＳ 明朝" w:cs="ＭＳ 明朝" w:hint="eastAsia"/>
          <w:color w:val="000000"/>
          <w:kern w:val="0"/>
          <w:sz w:val="22"/>
        </w:rPr>
        <w:t xml:space="preserve">　当該変更に係る届出前に設置されている環境施設（当該届出前に届け出られた環境施設の面積の変更に係るものを含む。）の面積の合計のうち、昭和４９年６月２９日以後の当該変更以外の生産施設の面積の変更に伴い最低限設置することが必要な環境施設の面積の合計を超える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S</w:t>
      </w:r>
      <w:r>
        <w:rPr>
          <w:rFonts w:ascii="Century" w:eastAsia="ＭＳ 明朝" w:hAnsi="ＭＳ 明朝" w:cs="ＭＳ 明朝" w:hint="eastAsia"/>
          <w:color w:val="000000"/>
          <w:kern w:val="0"/>
          <w:sz w:val="22"/>
        </w:rPr>
        <w:t xml:space="preserve">　当該既存工場等の敷地面積</w:t>
      </w:r>
    </w:p>
    <w:p w:rsidR="007E3ECB" w:rsidRDefault="007E3ECB">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E</w:t>
      </w:r>
      <w:r>
        <w:rPr>
          <w:rFonts w:ascii="Century" w:eastAsia="ＭＳ 明朝" w:hAnsi="ＭＳ 明朝" w:cs="ＭＳ 明朝" w:hint="eastAsia"/>
          <w:color w:val="000000"/>
          <w:kern w:val="0"/>
          <w:sz w:val="22"/>
          <w:vertAlign w:val="subscript"/>
        </w:rPr>
        <w:t>１</w:t>
      </w:r>
      <w:r>
        <w:rPr>
          <w:rFonts w:ascii="Century" w:eastAsia="ＭＳ 明朝" w:hAnsi="ＭＳ 明朝" w:cs="ＭＳ 明朝" w:hint="eastAsia"/>
          <w:color w:val="000000"/>
          <w:kern w:val="0"/>
          <w:sz w:val="22"/>
        </w:rPr>
        <w:t xml:space="preserve">　当該変更に係る届出前に設置されている環境施設（当該届出前に届け出られた環境施設の面積の変更に係るものを含む。）の面積の合計</w:t>
      </w:r>
    </w:p>
    <w:p w:rsidR="006758DB" w:rsidRDefault="00400C72" w:rsidP="006758DB">
      <w:pPr>
        <w:autoSpaceDE w:val="0"/>
        <w:autoSpaceDN w:val="0"/>
        <w:adjustRightInd w:val="0"/>
        <w:spacing w:line="440" w:lineRule="atLeast"/>
        <w:ind w:left="660"/>
        <w:jc w:val="left"/>
        <w:rPr>
          <w:rFonts w:ascii="Century" w:eastAsia="ＭＳ 明朝" w:hAnsi="ＭＳ 明朝" w:cs="ＭＳ 明朝"/>
          <w:color w:val="000000"/>
          <w:kern w:val="0"/>
          <w:sz w:val="22"/>
        </w:rPr>
      </w:pPr>
      <w:bookmarkStart w:id="1" w:name="last"/>
      <w:bookmarkEnd w:id="1"/>
      <w:r>
        <w:rPr>
          <w:rFonts w:ascii="Century" w:eastAsia="ＭＳ 明朝" w:hAnsi="ＭＳ 明朝" w:cs="ＭＳ 明朝" w:hint="eastAsia"/>
          <w:color w:val="000000"/>
          <w:kern w:val="0"/>
          <w:sz w:val="22"/>
        </w:rPr>
        <w:t>附　則</w:t>
      </w:r>
    </w:p>
    <w:p w:rsidR="00400C72" w:rsidRDefault="00400C72" w:rsidP="006758DB">
      <w:pPr>
        <w:autoSpaceDE w:val="0"/>
        <w:autoSpaceDN w:val="0"/>
        <w:adjustRightInd w:val="0"/>
        <w:spacing w:line="440" w:lineRule="atLeast"/>
        <w:ind w:firstLineChars="200" w:firstLine="44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この条例は、公布の日から施行する。</w:t>
      </w:r>
    </w:p>
    <w:p w:rsidR="00400C72" w:rsidRDefault="006758DB" w:rsidP="006758DB">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 xml:space="preserve">　　</w:t>
      </w:r>
    </w:p>
    <w:p w:rsidR="007E3ECB" w:rsidRPr="00400C72" w:rsidRDefault="007E3ECB">
      <w:pPr>
        <w:autoSpaceDE w:val="0"/>
        <w:autoSpaceDN w:val="0"/>
        <w:adjustRightInd w:val="0"/>
        <w:spacing w:line="440" w:lineRule="atLeast"/>
        <w:jc w:val="left"/>
        <w:rPr>
          <w:rFonts w:ascii="Century" w:eastAsia="ＭＳ 明朝" w:hAnsi="ＭＳ 明朝" w:cs="ＭＳ 明朝"/>
          <w:color w:val="000000"/>
          <w:kern w:val="0"/>
          <w:sz w:val="22"/>
        </w:rPr>
      </w:pPr>
    </w:p>
    <w:sectPr w:rsidR="007E3ECB" w:rsidRPr="00400C72">
      <w:pgSz w:w="11905" w:h="16837"/>
      <w:pgMar w:top="1700" w:right="1417" w:bottom="170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80A" w:rsidRDefault="0095280A" w:rsidP="00400C72">
      <w:r>
        <w:separator/>
      </w:r>
    </w:p>
  </w:endnote>
  <w:endnote w:type="continuationSeparator" w:id="0">
    <w:p w:rsidR="0095280A" w:rsidRDefault="0095280A" w:rsidP="0040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80A" w:rsidRDefault="0095280A" w:rsidP="00400C72">
      <w:r>
        <w:separator/>
      </w:r>
    </w:p>
  </w:footnote>
  <w:footnote w:type="continuationSeparator" w:id="0">
    <w:p w:rsidR="0095280A" w:rsidRDefault="0095280A" w:rsidP="00400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D9"/>
    <w:rsid w:val="000526A0"/>
    <w:rsid w:val="00346CD3"/>
    <w:rsid w:val="00400C72"/>
    <w:rsid w:val="00434152"/>
    <w:rsid w:val="006758DB"/>
    <w:rsid w:val="00770FC3"/>
    <w:rsid w:val="007E3ECB"/>
    <w:rsid w:val="0095280A"/>
    <w:rsid w:val="00B01817"/>
    <w:rsid w:val="00C50B3F"/>
    <w:rsid w:val="00D879D9"/>
    <w:rsid w:val="00ED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933756-A19A-4831-BA6C-D6597C38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9D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879D9"/>
    <w:rPr>
      <w:rFonts w:asciiTheme="majorHAnsi" w:eastAsiaTheme="majorEastAsia" w:hAnsiTheme="majorHAnsi" w:cs="Times New Roman"/>
      <w:sz w:val="18"/>
      <w:szCs w:val="18"/>
    </w:rPr>
  </w:style>
  <w:style w:type="paragraph" w:styleId="a5">
    <w:name w:val="header"/>
    <w:basedOn w:val="a"/>
    <w:link w:val="a6"/>
    <w:uiPriority w:val="99"/>
    <w:unhideWhenUsed/>
    <w:rsid w:val="00400C72"/>
    <w:pPr>
      <w:tabs>
        <w:tab w:val="center" w:pos="4252"/>
        <w:tab w:val="right" w:pos="8504"/>
      </w:tabs>
      <w:snapToGrid w:val="0"/>
    </w:pPr>
  </w:style>
  <w:style w:type="character" w:customStyle="1" w:styleId="a6">
    <w:name w:val="ヘッダー (文字)"/>
    <w:basedOn w:val="a0"/>
    <w:link w:val="a5"/>
    <w:uiPriority w:val="99"/>
    <w:locked/>
    <w:rsid w:val="00400C72"/>
    <w:rPr>
      <w:rFonts w:cs="Times New Roman"/>
      <w:sz w:val="22"/>
      <w:szCs w:val="22"/>
    </w:rPr>
  </w:style>
  <w:style w:type="paragraph" w:styleId="a7">
    <w:name w:val="footer"/>
    <w:basedOn w:val="a"/>
    <w:link w:val="a8"/>
    <w:uiPriority w:val="99"/>
    <w:unhideWhenUsed/>
    <w:rsid w:val="00400C72"/>
    <w:pPr>
      <w:tabs>
        <w:tab w:val="center" w:pos="4252"/>
        <w:tab w:val="right" w:pos="8504"/>
      </w:tabs>
      <w:snapToGrid w:val="0"/>
    </w:pPr>
  </w:style>
  <w:style w:type="character" w:customStyle="1" w:styleId="a8">
    <w:name w:val="フッター (文字)"/>
    <w:basedOn w:val="a0"/>
    <w:link w:val="a7"/>
    <w:uiPriority w:val="99"/>
    <w:locked/>
    <w:rsid w:val="00400C7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奨</dc:creator>
  <cp:keywords/>
  <dc:description/>
  <cp:lastModifiedBy>齋藤　奨</cp:lastModifiedBy>
  <cp:revision>2</cp:revision>
  <cp:lastPrinted>2018-07-02T07:15:00Z</cp:lastPrinted>
  <dcterms:created xsi:type="dcterms:W3CDTF">2018-07-06T01:45:00Z</dcterms:created>
  <dcterms:modified xsi:type="dcterms:W3CDTF">2018-07-06T01:45:00Z</dcterms:modified>
</cp:coreProperties>
</file>